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pacing w:lineRule="auto" w:line="360" w:before="283" w:after="283"/>
        <w:ind w:left="0" w:right="0" w:hanging="0"/>
        <w:jc w:val="center"/>
        <w:rPr>
          <w:b/>
          <w:b/>
          <w:sz w:val="36"/>
          <w:szCs w:val="36"/>
        </w:rPr>
      </w:pPr>
      <w:r>
        <w:rPr>
          <w:rFonts w:eastAsia="Calibri" w:cs="" w:cstheme="minorBidi" w:eastAsiaTheme="minorHAnsi"/>
          <w:b/>
          <w:color w:val="auto"/>
          <w:kern w:val="0"/>
          <w:sz w:val="36"/>
          <w:szCs w:val="36"/>
          <w:lang w:val="pl-PL" w:eastAsia="en-US" w:bidi="ar-SA"/>
        </w:rPr>
        <w:t>N</w:t>
      </w:r>
      <w:r>
        <w:rPr>
          <w:b/>
          <w:sz w:val="36"/>
          <w:szCs w:val="36"/>
        </w:rPr>
        <w:t>ieruchomoś</w:t>
      </w:r>
      <w:r>
        <w:rPr>
          <w:rFonts w:eastAsia="Calibri" w:cs="" w:cstheme="minorBidi" w:eastAsiaTheme="minorHAnsi"/>
          <w:b/>
          <w:color w:val="auto"/>
          <w:kern w:val="0"/>
          <w:sz w:val="36"/>
          <w:szCs w:val="36"/>
          <w:lang w:val="pl-PL" w:eastAsia="en-US" w:bidi="ar-SA"/>
        </w:rPr>
        <w:t>ć</w:t>
      </w:r>
      <w:r>
        <w:rPr>
          <w:b/>
          <w:sz w:val="36"/>
          <w:szCs w:val="36"/>
        </w:rPr>
        <w:t xml:space="preserve"> niezabudowan</w:t>
      </w:r>
      <w:r>
        <w:rPr>
          <w:rFonts w:eastAsia="Calibri" w:cs="" w:cstheme="minorBidi" w:eastAsiaTheme="minorHAnsi"/>
          <w:b/>
          <w:color w:val="auto"/>
          <w:kern w:val="0"/>
          <w:sz w:val="36"/>
          <w:szCs w:val="36"/>
          <w:lang w:val="pl-PL" w:eastAsia="en-US" w:bidi="ar-SA"/>
        </w:rPr>
        <w:t>a</w:t>
      </w:r>
      <w:r>
        <w:rPr>
          <w:b/>
          <w:sz w:val="36"/>
          <w:szCs w:val="36"/>
        </w:rPr>
        <w:t xml:space="preserve"> położon</w:t>
      </w:r>
      <w:r>
        <w:rPr>
          <w:rFonts w:eastAsia="Calibri" w:cs="" w:cstheme="minorBidi" w:eastAsiaTheme="minorHAnsi"/>
          <w:b/>
          <w:color w:val="auto"/>
          <w:kern w:val="0"/>
          <w:sz w:val="36"/>
          <w:szCs w:val="36"/>
          <w:lang w:val="pl-PL" w:eastAsia="en-US" w:bidi="ar-SA"/>
        </w:rPr>
        <w:t>a</w:t>
      </w:r>
      <w:r>
        <w:rPr>
          <w:b/>
          <w:sz w:val="36"/>
          <w:szCs w:val="36"/>
        </w:rPr>
        <w:t xml:space="preserve"> przy ul. Turystycznej 20</w:t>
      </w:r>
    </w:p>
    <w:p>
      <w:pPr>
        <w:pStyle w:val="Normal"/>
        <w:spacing w:lineRule="auto" w:line="360" w:before="0" w:after="0"/>
        <w:ind w:left="0" w:right="0" w:hanging="0"/>
        <w:jc w:val="center"/>
        <w:rPr>
          <w:rFonts w:cs="MyriadPro-LightSemiExt"/>
          <w:sz w:val="28"/>
          <w:szCs w:val="28"/>
        </w:rPr>
      </w:pPr>
      <w:r>
        <w:rPr>
          <w:rFonts w:cs="MyriadPro-LightSemiExt"/>
          <w:sz w:val="28"/>
          <w:szCs w:val="28"/>
        </w:rPr>
        <w:t>Dzierżawa na okres 3 lat nieruchomości niezabudowanej stanowiącej część działki oznaczonej w ewidencji gruntów numerem 557 obr. 0006 o powierzchni 426 m</w:t>
      </w:r>
      <w:r>
        <w:rPr>
          <w:rFonts w:cs="MyriadPro-LightSemiExt"/>
          <w:sz w:val="28"/>
          <w:szCs w:val="28"/>
          <w:vertAlign w:val="superscript"/>
        </w:rPr>
        <w:t>2</w:t>
      </w:r>
    </w:p>
    <w:p>
      <w:pPr>
        <w:pStyle w:val="Normal"/>
        <w:spacing w:lineRule="auto" w:line="360" w:before="0" w:after="0"/>
        <w:ind w:left="0" w:right="0" w:hanging="0"/>
        <w:jc w:val="center"/>
        <w:rPr>
          <w:rFonts w:cs="MyriadPro-LightSemiExt"/>
          <w:sz w:val="28"/>
          <w:szCs w:val="28"/>
        </w:rPr>
      </w:pPr>
      <w:r>
        <w:rPr>
          <w:rFonts w:cs="MyriadPro-LightSemiExt"/>
          <w:sz w:val="28"/>
          <w:szCs w:val="28"/>
        </w:rPr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>
          <w:rFonts w:eastAsia="Calibri" w:cs="Times New Roman"/>
          <w:sz w:val="28"/>
          <w:szCs w:val="28"/>
        </w:rPr>
      </w:pPr>
      <w:r>
        <w:rPr>
          <w:rFonts w:eastAsia="Calibri" w:cs="Times New Roman"/>
          <w:b/>
          <w:bCs/>
          <w:sz w:val="28"/>
          <w:szCs w:val="28"/>
        </w:rPr>
        <w:t>Przeznaczenie nieruchomości:</w:t>
      </w:r>
      <w:r>
        <w:rPr>
          <w:rFonts w:eastAsia="Calibri" w:cs="Times New Roman"/>
          <w:b w:val="false"/>
          <w:bCs w:val="false"/>
          <w:sz w:val="28"/>
          <w:szCs w:val="28"/>
        </w:rPr>
        <w:t xml:space="preserve"> w miejscowym planie zagospodarowania przestrzennego dla terenów tzw. Nowego Centrum (uchwała nr XIX/184/19 z 28 listopada 2019 r.) działka oznaczona jest symbolem MP.10 — tereny zabudowy pensjonatowej, z przeznaczeniem uzupełniającym: tereny zabudowy usługowej, infrastruktura techniczna, drogi wewnętrzne i parkingi.</w:t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>
          <w:rFonts w:eastAsia="Calibri" w:cs="Times New Roman"/>
          <w:sz w:val="28"/>
          <w:szCs w:val="28"/>
        </w:rPr>
      </w:pPr>
      <w:r>
        <w:rPr>
          <w:rFonts w:eastAsia="Calibri" w:cs="Times New Roman"/>
          <w:b/>
          <w:bCs/>
          <w:sz w:val="28"/>
          <w:szCs w:val="28"/>
        </w:rPr>
        <w:t>Sposób zagospodarowania nieruchomości:</w:t>
      </w:r>
      <w:r>
        <w:rPr>
          <w:rFonts w:eastAsia="Calibri" w:cs="Times New Roman"/>
          <w:b w:val="false"/>
          <w:bCs w:val="false"/>
          <w:sz w:val="28"/>
          <w:szCs w:val="28"/>
        </w:rPr>
        <w:t xml:space="preserve"> cele usługowe (20% powierzchni terenu) i na cele rekreacyjne związane z prowadzoną działalnością gospodarczą (80% powierzchni terenu).</w:t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>
          <w:rFonts w:eastAsia="Calibri" w:cs="Times New Roman"/>
          <w:sz w:val="28"/>
          <w:szCs w:val="28"/>
        </w:rPr>
      </w:pPr>
      <w:r>
        <w:rPr>
          <w:rFonts w:eastAsia="Calibri" w:cs="Times New Roman"/>
          <w:b/>
          <w:bCs/>
          <w:sz w:val="28"/>
          <w:szCs w:val="28"/>
        </w:rPr>
        <w:t xml:space="preserve">Termin zagospodarowania nieruchomości: </w:t>
      </w:r>
      <w:r>
        <w:rPr>
          <w:rFonts w:eastAsia="Calibri" w:cs="Times New Roman"/>
          <w:b w:val="false"/>
          <w:bCs w:val="false"/>
          <w:sz w:val="28"/>
          <w:szCs w:val="28"/>
        </w:rPr>
        <w:t>brak określenia.</w:t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>
          <w:rFonts w:eastAsia="Calibri" w:cs="Times New Roman"/>
          <w:sz w:val="28"/>
          <w:szCs w:val="28"/>
        </w:rPr>
      </w:pPr>
      <w:r>
        <w:rPr>
          <w:rFonts w:eastAsia="Calibri" w:cs="Times New Roman"/>
          <w:b/>
          <w:bCs/>
          <w:sz w:val="28"/>
          <w:szCs w:val="28"/>
        </w:rPr>
        <w:t>Istniejące uzbrojenie:</w:t>
      </w:r>
      <w:r>
        <w:rPr>
          <w:rFonts w:eastAsia="Calibri" w:cs="Times New Roman"/>
          <w:b w:val="false"/>
          <w:bCs w:val="false"/>
          <w:sz w:val="28"/>
          <w:szCs w:val="28"/>
        </w:rPr>
        <w:t xml:space="preserve"> w zasięgu wody, gazu, energii i kanalizacji. </w:t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>
          <w:rFonts w:eastAsia="Calibri" w:cs="Times New Roman"/>
          <w:sz w:val="28"/>
          <w:szCs w:val="28"/>
        </w:rPr>
      </w:pPr>
      <w:r>
        <w:rPr>
          <w:rFonts w:eastAsia="Calibri" w:cs="Times New Roman"/>
          <w:b/>
          <w:bCs/>
          <w:sz w:val="28"/>
          <w:szCs w:val="28"/>
        </w:rPr>
        <w:t>Opis nieruchomości:</w:t>
      </w:r>
      <w:r>
        <w:rPr>
          <w:rFonts w:eastAsia="Calibri" w:cs="Times New Roman"/>
          <w:b w:val="false"/>
          <w:bCs w:val="false"/>
          <w:sz w:val="28"/>
          <w:szCs w:val="28"/>
        </w:rPr>
        <w:t xml:space="preserve"> działka o nieregularnym kształcie i zróżnicowanym ukształtowaniu terenu, położona na stoku, nieogrodzona, z dostępem do infrastruktury technicznej, z dobrym dojazdem.</w:t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>
          <w:rFonts w:eastAsia="Calibri" w:cs="Times New Roman"/>
          <w:sz w:val="28"/>
          <w:szCs w:val="28"/>
        </w:rPr>
      </w:pPr>
      <w:r>
        <w:rPr>
          <w:rFonts w:eastAsia="Calibri" w:cs="Times New Roman"/>
          <w:b w:val="false"/>
          <w:bCs w:val="false"/>
          <w:sz w:val="28"/>
          <w:szCs w:val="28"/>
        </w:rPr>
        <w:t>Informacja o terenach przyległych: usytuowana w strefie centralnej, w sąsiedztwie budynków mieszkalnych, obiektów wczasowych, wyciągów i stoków narciarskich a także zieleni.</w:t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>
          <w:rFonts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center"/>
        <w:rPr/>
      </w:pPr>
      <w:r>
        <w:rPr>
          <w:rFonts w:eastAsia="Calibri" w:cs="Times New Roman"/>
          <w:b w:val="false"/>
          <w:bCs w:val="false"/>
          <w:color w:val="C9211E"/>
          <w:sz w:val="28"/>
          <w:szCs w:val="28"/>
        </w:rPr>
        <w:t xml:space="preserve">Ustala się wywoławczy miesięczny </w:t>
      </w:r>
      <w:r>
        <w:rPr>
          <w:rFonts w:eastAsia="Calibri" w:cs="Times New Roman"/>
          <w:b/>
          <w:bCs/>
          <w:color w:val="C9211E"/>
          <w:sz w:val="28"/>
          <w:szCs w:val="28"/>
        </w:rPr>
        <w:t>czynsz dzierżawny</w:t>
      </w:r>
      <w:r>
        <w:rPr>
          <w:rFonts w:eastAsia="Calibri" w:cs="Times New Roman"/>
          <w:b w:val="false"/>
          <w:bCs w:val="false"/>
          <w:color w:val="C9211E"/>
          <w:sz w:val="28"/>
          <w:szCs w:val="28"/>
        </w:rPr>
        <w:t xml:space="preserve"> na kwotę </w:t>
      </w:r>
      <w:r>
        <w:rPr>
          <w:rFonts w:eastAsia="Calibri" w:cs="Times New Roman"/>
          <w:b/>
          <w:bCs/>
          <w:color w:val="C9211E"/>
          <w:kern w:val="0"/>
          <w:sz w:val="28"/>
          <w:szCs w:val="28"/>
          <w:lang w:val="pl-PL" w:eastAsia="en-US" w:bidi="ar-SA"/>
        </w:rPr>
        <w:t>2</w:t>
      </w:r>
      <w:r>
        <w:rPr>
          <w:rFonts w:eastAsia="Calibri" w:cs="Times New Roman"/>
          <w:b/>
          <w:bCs/>
          <w:color w:val="C9211E"/>
          <w:sz w:val="28"/>
          <w:szCs w:val="28"/>
        </w:rPr>
        <w:t>.000,- zł netto</w:t>
      </w:r>
      <w:r>
        <w:rPr>
          <w:rFonts w:eastAsia="Calibri" w:cs="Times New Roman"/>
          <w:b w:val="false"/>
          <w:bCs w:val="false"/>
          <w:color w:val="C9211E"/>
          <w:sz w:val="28"/>
          <w:szCs w:val="28"/>
        </w:rPr>
        <w:t xml:space="preserve">. Do uzyskanego w przetargu czynszu doliczony zostanie </w:t>
      </w:r>
      <w:r>
        <w:rPr>
          <w:rFonts w:eastAsia="Calibri" w:cs="Times New Roman"/>
          <w:b/>
          <w:bCs/>
          <w:color w:val="C9211E"/>
          <w:sz w:val="28"/>
          <w:szCs w:val="28"/>
        </w:rPr>
        <w:t>podatek</w:t>
      </w:r>
      <w:r>
        <w:rPr>
          <w:rFonts w:eastAsia="Calibri" w:cs="Times New Roman"/>
          <w:b w:val="false"/>
          <w:bCs w:val="false"/>
          <w:color w:val="C9211E"/>
          <w:sz w:val="28"/>
          <w:szCs w:val="28"/>
        </w:rPr>
        <w:t xml:space="preserve"> VAT w wysokości </w:t>
      </w:r>
      <w:r>
        <w:rPr>
          <w:rFonts w:eastAsia="Calibri" w:cs="Times New Roman"/>
          <w:b/>
          <w:bCs/>
          <w:color w:val="C9211E"/>
          <w:sz w:val="28"/>
          <w:szCs w:val="28"/>
        </w:rPr>
        <w:t>23 %</w:t>
      </w:r>
      <w:r>
        <w:rPr>
          <w:rFonts w:eastAsia="Calibri" w:cs="Times New Roman"/>
          <w:b w:val="false"/>
          <w:bCs w:val="false"/>
          <w:color w:val="C9211E"/>
          <w:sz w:val="28"/>
          <w:szCs w:val="28"/>
        </w:rPr>
        <w:t>. Wysokość czynszu dzierżawnego będzie corocznie waloryzowana o średnioroczny wskaźnik cen towarów i usług konsumpcyjnych.</w:t>
      </w:r>
    </w:p>
    <w:p>
      <w:pPr>
        <w:pStyle w:val="Stopka"/>
        <w:spacing w:lineRule="auto" w:line="360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opka"/>
        <w:spacing w:lineRule="auto" w:line="360"/>
        <w:jc w:val="right"/>
        <w:rPr>
          <w:sz w:val="28"/>
          <w:szCs w:val="28"/>
        </w:rPr>
      </w:pPr>
      <w:r>
        <w:rPr>
          <w:i/>
          <w:iCs/>
          <w:sz w:val="28"/>
          <w:szCs w:val="28"/>
        </w:rPr>
        <w:t xml:space="preserve">Szklarska Poręba, </w:t>
      </w:r>
      <w:r>
        <w:rPr>
          <w:i/>
          <w:iCs/>
          <w:sz w:val="28"/>
          <w:szCs w:val="28"/>
        </w:rPr>
        <w:t>30</w:t>
      </w: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grudnia</w:t>
      </w:r>
      <w:r>
        <w:rPr>
          <w:i/>
          <w:iCs/>
          <w:sz w:val="28"/>
          <w:szCs w:val="28"/>
        </w:rPr>
        <w:t xml:space="preserve"> 2022 roku</w:t>
      </w:r>
    </w:p>
    <w:p>
      <w:pPr>
        <w:pStyle w:val="Stopka"/>
        <w:spacing w:lineRule="auto" w:line="360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opka"/>
        <w:spacing w:lineRule="auto" w:line="360"/>
        <w:rPr>
          <w:sz w:val="28"/>
          <w:szCs w:val="28"/>
        </w:rPr>
      </w:pPr>
      <w:r>
        <w:rPr>
          <w:sz w:val="28"/>
          <w:szCs w:val="28"/>
        </w:rPr>
        <w:t>Urząd Miejski Szklarskiej Poręby przy ul. ul. Granitowej 2</w:t>
      </w:r>
    </w:p>
    <w:p>
      <w:pPr>
        <w:pStyle w:val="Stopka"/>
        <w:spacing w:lineRule="auto" w:line="360"/>
        <w:rPr>
          <w:sz w:val="28"/>
          <w:szCs w:val="28"/>
        </w:rPr>
      </w:pPr>
      <w:r>
        <w:rPr>
          <w:sz w:val="28"/>
          <w:szCs w:val="28"/>
        </w:rPr>
        <w:t>Referat Rozwoju, Planowania Przestrzennego i Nieruchomości, pok. 11</w:t>
      </w:r>
    </w:p>
    <w:p>
      <w:pPr>
        <w:pStyle w:val="Stopka"/>
        <w:spacing w:lineRule="auto" w:line="360"/>
        <w:rPr>
          <w:sz w:val="28"/>
          <w:szCs w:val="28"/>
        </w:rPr>
      </w:pPr>
      <w:r>
        <w:rPr>
          <w:sz w:val="28"/>
          <w:szCs w:val="28"/>
        </w:rPr>
        <w:t>Tel. 75 75 47 710, 75 75 47 715</w:t>
      </w:r>
    </w:p>
    <w:p>
      <w:pPr>
        <w:pStyle w:val="Stopka"/>
        <w:suppressAutoHyphens w:val="false"/>
        <w:spacing w:lineRule="auto" w:line="360" w:before="0" w:after="0"/>
        <w:ind w:left="0" w:right="0" w:hanging="0"/>
        <w:jc w:val="left"/>
        <w:rPr>
          <w:rFonts w:eastAsia="Calibri" w:cs="Times New Roman"/>
          <w:sz w:val="28"/>
          <w:szCs w:val="28"/>
        </w:rPr>
      </w:pPr>
      <w:r>
        <w:rPr>
          <w:rStyle w:val="Czeinternetowe"/>
          <w:rFonts w:eastAsia="Calibri" w:cs="Times New Roman"/>
          <w:sz w:val="28"/>
          <w:szCs w:val="28"/>
        </w:rPr>
        <w:t>inwestycje@szklarskaporeba.pl</w:t>
      </w:r>
    </w:p>
    <w:p>
      <w:pPr>
        <w:pStyle w:val="Stopka"/>
        <w:suppressAutoHyphens w:val="false"/>
        <w:spacing w:lineRule="auto" w:line="360" w:before="0" w:after="0"/>
        <w:ind w:left="0" w:right="0" w:hanging="0"/>
        <w:jc w:val="left"/>
        <w:rPr>
          <w:rStyle w:val="Czeinternetowe"/>
          <w:rFonts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</w:r>
    </w:p>
    <w:p>
      <w:pPr>
        <w:pStyle w:val="Stopka"/>
        <w:suppressAutoHyphens w:val="false"/>
        <w:spacing w:lineRule="auto" w:line="360" w:before="0" w:after="0"/>
        <w:ind w:left="0" w:right="0" w:hanging="0"/>
        <w:jc w:val="left"/>
        <w:rPr>
          <w:rStyle w:val="Czeinternetowe"/>
          <w:rFonts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>
          <w:rFonts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60085" cy="4064635"/>
            <wp:effectExtent l="0" t="0" r="0" b="0"/>
            <wp:wrapSquare wrapText="largest"/>
            <wp:docPr id="1" name="Obraz1" descr="Nieruchomość niezabudowana położona przy ul. Turystycznej 20&#10;Fotografia przedstawia działkę do dzierżawy i budynek sąsiedn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1" descr="Nieruchomość niezabudowana położona przy ul. Turystycznej 20&#10;Fotografia przedstawia działkę do dzierżawy i budynek sąsiedni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064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>
          <w:rFonts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>
          <w:rFonts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posOffset>565150</wp:posOffset>
            </wp:positionH>
            <wp:positionV relativeFrom="paragraph">
              <wp:posOffset>43180</wp:posOffset>
            </wp:positionV>
            <wp:extent cx="5760085" cy="4334510"/>
            <wp:effectExtent l="0" t="0" r="0" b="0"/>
            <wp:wrapSquare wrapText="largest"/>
            <wp:docPr id="2" name="Obraz2" descr="Nieruchomość niezabudowana położona przy ul. Turystycznej 20&#10;Fotografia przedstawia działkę do dzierża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2" descr="Nieruchomość niezabudowana położona przy ul. Turystycznej 20&#10;Fotografia przedstawia działkę do dzierżawy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34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</w:r>
    </w:p>
    <w:p>
      <w:pPr>
        <w:pStyle w:val="Normal"/>
        <w:suppressAutoHyphens w:val="false"/>
        <w:spacing w:lineRule="auto" w:line="360" w:before="0" w:after="0"/>
        <w:ind w:left="0" w:right="0" w:hanging="0"/>
        <w:jc w:val="left"/>
        <w:rPr/>
      </w:pPr>
      <w:r>
        <w:rPr/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posOffset>571500</wp:posOffset>
            </wp:positionH>
            <wp:positionV relativeFrom="paragraph">
              <wp:posOffset>35560</wp:posOffset>
            </wp:positionV>
            <wp:extent cx="5760085" cy="5079365"/>
            <wp:effectExtent l="0" t="0" r="0" b="0"/>
            <wp:wrapSquare wrapText="largest"/>
            <wp:docPr id="3" name="Obraz3" descr="Nieruchomość niezabudowana położona przy ul. Turystycznej 20&#10;Fotografia przedstawia zdjęcie lotnicze z wyrysowaną granicą obszaru i sąsiednimi działkami i oznaczeniam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3" descr="Nieruchomość niezabudowana położona przy ul. Turystycznej 20&#10;Fotografia przedstawia zdjęcie lotnicze z wyrysowaną granicą obszaru i sąsiednimi działkami i oznaczeniami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5079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567" w:right="567" w:gutter="0" w:header="0" w:top="567" w:footer="0" w:bottom="567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Calibri">
    <w:charset w:val="ee"/>
    <w:family w:val="roman"/>
    <w:pitch w:val="variable"/>
  </w:font>
  <w:font w:name="Segoe UI">
    <w:charset w:val="ee"/>
    <w:family w:val="roman"/>
    <w:pitch w:val="variable"/>
  </w:font>
  <w:font w:name="Liberation Sans">
    <w:altName w:val="Arial"/>
    <w:charset w:val="ee"/>
    <w:family w:val="roman"/>
    <w:pitch w:val="variable"/>
  </w:font>
  <w:font w:name="Times New Roman">
    <w:charset w:val="ee"/>
    <w:family w:val="roman"/>
    <w:pitch w:val="variable"/>
  </w:font>
</w:fonts>
</file>

<file path=word/settings.xml><?xml version="1.0" encoding="utf-8"?>
<w:settings xmlns:w="http://schemas.openxmlformats.org/wordprocessingml/2006/main">
  <w:zoom w:percent="62"/>
  <w:defaultTabStop w:val="708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pl-PL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pl-PL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suppressAutoHyphens w:val="true"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pl-PL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NagwekZnak" w:customStyle="1">
    <w:name w:val="Nagłówek Znak"/>
    <w:basedOn w:val="DefaultParagraphFont"/>
    <w:link w:val="Nagwek"/>
    <w:uiPriority w:val="99"/>
    <w:qFormat/>
    <w:rsid w:val="0017672e"/>
    <w:rPr/>
  </w:style>
  <w:style w:type="character" w:styleId="StopkaZnak" w:customStyle="1">
    <w:name w:val="Stopka Znak"/>
    <w:basedOn w:val="DefaultParagraphFont"/>
    <w:uiPriority w:val="99"/>
    <w:qFormat/>
    <w:rsid w:val="0017672e"/>
    <w:rPr/>
  </w:style>
  <w:style w:type="character" w:styleId="TekstdymkaZnak" w:customStyle="1">
    <w:name w:val="Tekst dymka Znak"/>
    <w:basedOn w:val="DefaultParagraphFont"/>
    <w:uiPriority w:val="99"/>
    <w:semiHidden/>
    <w:qFormat/>
    <w:rsid w:val="004e79d9"/>
    <w:rPr>
      <w:rFonts w:ascii="Segoe UI" w:hAnsi="Segoe UI" w:cs="Segoe UI"/>
      <w:sz w:val="18"/>
      <w:szCs w:val="18"/>
    </w:rPr>
  </w:style>
  <w:style w:type="character" w:styleId="Czeinternetowe">
    <w:name w:val="Hyperlink"/>
    <w:basedOn w:val="DefaultParagraphFont"/>
    <w:uiPriority w:val="99"/>
    <w:unhideWhenUsed/>
    <w:rsid w:val="00c05cc1"/>
    <w:rPr>
      <w:color w:val="0563C1" w:themeColor="hyperlink"/>
      <w:u w:val="single"/>
    </w:rPr>
  </w:style>
  <w:style w:type="character" w:styleId="Odwiedzoneczeinternetowe">
    <w:name w:val="FollowedHyperlink"/>
    <w:rPr>
      <w:color w:val="800000"/>
      <w:u w:val="single"/>
      <w:lang w:val="zxx" w:eastAsia="zxx" w:bidi="zxx"/>
    </w:rPr>
  </w:style>
  <w:style w:type="paragraph" w:styleId="Nagwek">
    <w:name w:val="Nagłówek"/>
    <w:basedOn w:val="Normal"/>
    <w:next w:val="Tretekstu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retekstu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Tretekstu"/>
    <w:pPr/>
    <w:rPr>
      <w:rFonts w:cs="Arial"/>
    </w:rPr>
  </w:style>
  <w:style w:type="paragraph" w:styleId="Podpis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 w:customStyle="1">
    <w:name w:val="Indeks"/>
    <w:basedOn w:val="Normal"/>
    <w:qFormat/>
    <w:pPr>
      <w:suppressLineNumbers/>
    </w:pPr>
    <w:rPr>
      <w:rFonts w:cs="Arial"/>
    </w:rPr>
  </w:style>
  <w:style w:type="paragraph" w:styleId="Gwkaistopka" w:customStyle="1">
    <w:name w:val="Główka i stopka"/>
    <w:basedOn w:val="Normal"/>
    <w:qFormat/>
    <w:pPr/>
    <w:rPr/>
  </w:style>
  <w:style w:type="paragraph" w:styleId="Gwka">
    <w:name w:val="Header"/>
    <w:basedOn w:val="Normal"/>
    <w:next w:val="Tretekstu"/>
    <w:link w:val="NagwekZnak"/>
    <w:uiPriority w:val="99"/>
    <w:unhideWhenUsed/>
    <w:rsid w:val="0017672e"/>
    <w:pPr>
      <w:tabs>
        <w:tab w:val="clear" w:pos="708"/>
        <w:tab w:val="center" w:pos="4536" w:leader="none"/>
        <w:tab w:val="right" w:pos="9072" w:leader="none"/>
      </w:tabs>
      <w:spacing w:lineRule="auto" w:line="240" w:before="0" w:after="0"/>
    </w:pPr>
    <w:rPr/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opka">
    <w:name w:val="Footer"/>
    <w:basedOn w:val="Normal"/>
    <w:link w:val="StopkaZnak"/>
    <w:uiPriority w:val="99"/>
    <w:unhideWhenUsed/>
    <w:rsid w:val="0017672e"/>
    <w:pPr>
      <w:tabs>
        <w:tab w:val="clear" w:pos="708"/>
        <w:tab w:val="center" w:pos="4536" w:leader="none"/>
        <w:tab w:val="right" w:pos="9072" w:leader="none"/>
      </w:tabs>
      <w:spacing w:lineRule="auto" w:line="240" w:before="0" w:after="0"/>
    </w:pPr>
    <w:rPr/>
  </w:style>
  <w:style w:type="paragraph" w:styleId="Stopka1" w:customStyle="1">
    <w:name w:val="Stopka1"/>
    <w:qFormat/>
    <w:rsid w:val="00476ff0"/>
    <w:pPr>
      <w:widowControl/>
      <w:suppressAutoHyphens w:val="true"/>
      <w:bidi w:val="0"/>
      <w:spacing w:before="0" w:after="0"/>
      <w:jc w:val="left"/>
      <w:textAlignment w:val="baseline"/>
    </w:pPr>
    <w:rPr>
      <w:rFonts w:ascii="Times New Roman" w:hAnsi="Times New Roman" w:eastAsia="Times New Roman" w:cs="Times New Roman"/>
      <w:color w:val="000000"/>
      <w:kern w:val="0"/>
      <w:sz w:val="24"/>
      <w:szCs w:val="20"/>
      <w:lang w:val="en-US" w:eastAsia="pl-PL" w:bidi="ar-SA"/>
    </w:rPr>
  </w:style>
  <w:style w:type="paragraph" w:styleId="BalloonText">
    <w:name w:val="Balloon Text"/>
    <w:basedOn w:val="Normal"/>
    <w:link w:val="TekstdymkaZnak"/>
    <w:uiPriority w:val="99"/>
    <w:semiHidden/>
    <w:unhideWhenUsed/>
    <w:qFormat/>
    <w:rsid w:val="004e79d9"/>
    <w:pPr>
      <w:spacing w:lineRule="auto" w:line="240" w:before="0" w:after="0"/>
    </w:pPr>
    <w:rPr>
      <w:rFonts w:ascii="Segoe UI" w:hAnsi="Segoe UI" w:cs="Segoe UI"/>
      <w:sz w:val="18"/>
      <w:szCs w:val="18"/>
    </w:rPr>
  </w:style>
  <w:style w:type="paragraph" w:styleId="Default" w:customStyle="1">
    <w:name w:val="Default"/>
    <w:qFormat/>
    <w:rsid w:val="001c645b"/>
    <w:pPr>
      <w:widowControl/>
      <w:suppressAutoHyphens w:val="true"/>
      <w:bidi w:val="0"/>
      <w:spacing w:before="0" w:after="0"/>
      <w:jc w:val="left"/>
    </w:pPr>
    <w:rPr>
      <w:rFonts w:ascii="Calibri" w:hAnsi="Calibri" w:eastAsia="Times New Roman" w:cs="Calibri"/>
      <w:color w:val="000000"/>
      <w:kern w:val="0"/>
      <w:sz w:val="24"/>
      <w:szCs w:val="24"/>
      <w:lang w:val="pl-PL" w:eastAsia="pl-PL" w:bidi="ar-SA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Standardowy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fontTable" Target="fontTable.xml"/><Relationship Id="rId6" Type="http://schemas.openxmlformats.org/officeDocument/2006/relationships/settings" Target="settings.xml"/><Relationship Id="rId7" Type="http://schemas.openxmlformats.org/officeDocument/2006/relationships/theme" Target="theme/theme1.xml"/><Relationship Id="rId8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AE047C-43EE-471C-BB70-34FDAF72A8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Application>LibreOffice/7.4.2.3$Windows_X86_64 LibreOffice_project/382eef1f22670f7f4118c8c2dd222ec7ad009daf</Application>
  <AppVersion>15.0000</AppVersion>
  <DocSecurity>0</DocSecurity>
  <Pages>3</Pages>
  <Words>217</Words>
  <Characters>1513</Characters>
  <CharactersWithSpaces>1718</CharactersWithSpaces>
  <Paragraphs>14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2021-08-26T11:33:00Z</dcterms:created>
  <dc:creator>Marcin</dc:creator>
  <dc:description/>
  <dc:language>pl-PL</dc:language>
  <cp:lastModifiedBy/>
  <cp:lastPrinted>2016-06-02T09:12:00Z</cp:lastPrinted>
  <dcterms:modified xsi:type="dcterms:W3CDTF">2022-12-30T13:22:52Z</dcterms:modified>
  <cp:revision>17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HyperlinksChanged">
    <vt:bool>0</vt:bool>
  </property>
  <property fmtid="{D5CDD505-2E9C-101B-9397-08002B2CF9AE}" pid="3" name="LinksUpToDate">
    <vt:bool>0</vt:bool>
  </property>
  <property fmtid="{D5CDD505-2E9C-101B-9397-08002B2CF9AE}" pid="4" name="ScaleCrop">
    <vt:bool>0</vt:bool>
  </property>
  <property fmtid="{D5CDD505-2E9C-101B-9397-08002B2CF9AE}" pid="5" name="ShareDoc">
    <vt:bool>0</vt:bool>
  </property>
</Properties>
</file>